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12" w:rsidRDefault="003C5082">
      <w:pPr>
        <w:pStyle w:val="Textbody"/>
        <w:tabs>
          <w:tab w:val="left" w:pos="5670"/>
          <w:tab w:val="left" w:pos="9637"/>
        </w:tabs>
        <w:ind w:left="1134" w:right="-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VISTOS ETC.</w:t>
      </w:r>
    </w:p>
    <w:p w:rsidR="00090112" w:rsidRDefault="00090112">
      <w:pPr>
        <w:pStyle w:val="Textbody"/>
        <w:jc w:val="both"/>
        <w:rPr>
          <w:sz w:val="24"/>
          <w:szCs w:val="24"/>
        </w:rPr>
      </w:pPr>
    </w:p>
    <w:p w:rsidR="00090112" w:rsidRDefault="00090112">
      <w:pPr>
        <w:pStyle w:val="Textbody"/>
        <w:tabs>
          <w:tab w:val="left" w:pos="709"/>
        </w:tabs>
        <w:ind w:left="709" w:firstLine="3260"/>
        <w:jc w:val="both"/>
        <w:rPr>
          <w:sz w:val="24"/>
          <w:szCs w:val="24"/>
        </w:rPr>
      </w:pPr>
    </w:p>
    <w:p w:rsidR="00090112" w:rsidRDefault="003C5082">
      <w:pPr>
        <w:pStyle w:val="Textbody"/>
        <w:tabs>
          <w:tab w:val="left" w:pos="1134"/>
        </w:tabs>
        <w:ind w:left="1134" w:firstLine="3288"/>
        <w:jc w:val="both"/>
      </w:pPr>
      <w:r>
        <w:rPr>
          <w:color w:val="000000"/>
          <w:sz w:val="24"/>
          <w:szCs w:val="24"/>
        </w:rPr>
        <w:t xml:space="preserve">Trata-se de </w:t>
      </w:r>
      <w:r>
        <w:rPr>
          <w:rStyle w:val="StrongEmphasis"/>
          <w:b w:val="0"/>
          <w:color w:val="000000"/>
          <w:sz w:val="24"/>
          <w:szCs w:val="24"/>
        </w:rPr>
        <w:t>AÇÃO DE CIVIL PÚBLICA,</w:t>
      </w:r>
      <w:r>
        <w:rPr>
          <w:color w:val="000000"/>
          <w:sz w:val="24"/>
          <w:szCs w:val="24"/>
        </w:rPr>
        <w:t xml:space="preserve"> com pedido de antecipação de tutela, proposta pelo Ministério Público do Estado </w:t>
      </w:r>
      <w:r>
        <w:rPr>
          <w:color w:val="000000"/>
          <w:sz w:val="24"/>
          <w:szCs w:val="24"/>
        </w:rPr>
        <w:t>de Goiás em desfavor do Sindicato das Empresas de Transporte Coletivo Urbano de Passageiros de Goiânia – SETRANSP e Câmara Deliberativa de Transportes Coletivos da Região Metropolitana de Goiânia - CDTC, todos devidamente qualificados nos autos, visando, </w:t>
      </w:r>
      <w:r>
        <w:rPr>
          <w:rStyle w:val="StrongEmphasis"/>
          <w:b w:val="0"/>
          <w:color w:val="000000"/>
          <w:sz w:val="24"/>
          <w:szCs w:val="24"/>
        </w:rPr>
        <w:t>"</w:t>
      </w:r>
      <w:r>
        <w:rPr>
          <w:rStyle w:val="StrongEmphasis"/>
          <w:b w:val="0"/>
          <w:color w:val="000000"/>
          <w:sz w:val="24"/>
          <w:szCs w:val="24"/>
        </w:rPr>
        <w:t xml:space="preserve">inaudita altera </w:t>
      </w:r>
      <w:proofErr w:type="spellStart"/>
      <w:r>
        <w:rPr>
          <w:rStyle w:val="StrongEmphasis"/>
          <w:b w:val="0"/>
          <w:color w:val="000000"/>
          <w:sz w:val="24"/>
          <w:szCs w:val="24"/>
        </w:rPr>
        <w:t>pars</w:t>
      </w:r>
      <w:proofErr w:type="spellEnd"/>
      <w:r>
        <w:rPr>
          <w:rStyle w:val="StrongEmphasis"/>
          <w:b w:val="0"/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, a concessão de liminar para o fim de compelir o primeiro réu a não limitar o número de viagens pelo cartão fácil com redução tarifária, no sistema eixo anhanguera e para que  forneça aos usuários um serviço de qualidade no que tange </w:t>
      </w:r>
      <w:r>
        <w:rPr>
          <w:color w:val="000000"/>
          <w:sz w:val="24"/>
          <w:szCs w:val="24"/>
        </w:rPr>
        <w:t>à disponibilização de pontos de vendas de recargas de passagens para o cartão fácil, bem como a implantação do segundo chip nas máquinas de recarga, e para que o segundo réu fique proibido de aumentar o valor das tarifas como forma de reaver supostos preju</w:t>
      </w:r>
      <w:r>
        <w:rPr>
          <w:color w:val="000000"/>
          <w:sz w:val="24"/>
          <w:szCs w:val="24"/>
        </w:rPr>
        <w:t xml:space="preserve">ízos em razão da prática de fraudes na comercialização de passagens </w:t>
      </w:r>
      <w:proofErr w:type="gramStart"/>
      <w:r>
        <w:rPr>
          <w:color w:val="000000"/>
          <w:sz w:val="24"/>
          <w:szCs w:val="24"/>
        </w:rPr>
        <w:t>pelo</w:t>
      </w:r>
      <w:proofErr w:type="gramEnd"/>
      <w:r>
        <w:rPr>
          <w:color w:val="000000"/>
          <w:sz w:val="24"/>
          <w:szCs w:val="24"/>
        </w:rPr>
        <w:t xml:space="preserve"> cartão fácil.</w:t>
      </w:r>
    </w:p>
    <w:p w:rsidR="00090112" w:rsidRDefault="00090112">
      <w:pPr>
        <w:pStyle w:val="Textbody"/>
        <w:tabs>
          <w:tab w:val="left" w:pos="1134"/>
        </w:tabs>
        <w:ind w:left="1134" w:firstLine="3288"/>
        <w:jc w:val="both"/>
        <w:rPr>
          <w:color w:val="000000"/>
          <w:sz w:val="24"/>
          <w:szCs w:val="24"/>
        </w:rPr>
      </w:pPr>
    </w:p>
    <w:p w:rsidR="00090112" w:rsidRDefault="003C5082">
      <w:pPr>
        <w:pStyle w:val="Textbody"/>
        <w:tabs>
          <w:tab w:val="left" w:pos="1134"/>
        </w:tabs>
        <w:ind w:left="1134" w:firstLine="3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autor após expor os fatos cita o direito que sustenta sua alegação e ao final pede a cominação </w:t>
      </w:r>
      <w:proofErr w:type="gramStart"/>
      <w:r>
        <w:rPr>
          <w:color w:val="000000"/>
          <w:sz w:val="24"/>
          <w:szCs w:val="24"/>
        </w:rPr>
        <w:t>de  multa</w:t>
      </w:r>
      <w:proofErr w:type="gramEnd"/>
      <w:r>
        <w:rPr>
          <w:color w:val="000000"/>
          <w:sz w:val="24"/>
          <w:szCs w:val="24"/>
        </w:rPr>
        <w:t xml:space="preserve"> diária  para impedir o descumprimento.</w:t>
      </w:r>
    </w:p>
    <w:p w:rsidR="00090112" w:rsidRDefault="00090112">
      <w:pPr>
        <w:pStyle w:val="Textbody"/>
        <w:tabs>
          <w:tab w:val="left" w:pos="1134"/>
        </w:tabs>
        <w:ind w:left="1134" w:firstLine="3288"/>
        <w:jc w:val="both"/>
        <w:rPr>
          <w:color w:val="000000"/>
          <w:sz w:val="24"/>
          <w:szCs w:val="24"/>
        </w:rPr>
      </w:pPr>
    </w:p>
    <w:p w:rsidR="00090112" w:rsidRDefault="003C5082">
      <w:pPr>
        <w:pStyle w:val="Textbody"/>
        <w:tabs>
          <w:tab w:val="left" w:pos="1134"/>
        </w:tabs>
        <w:ind w:left="1134" w:firstLine="3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 a inicial, </w:t>
      </w:r>
      <w:proofErr w:type="gramStart"/>
      <w:r>
        <w:rPr>
          <w:color w:val="000000"/>
          <w:sz w:val="24"/>
          <w:szCs w:val="24"/>
        </w:rPr>
        <w:t>viera</w:t>
      </w:r>
      <w:r>
        <w:rPr>
          <w:color w:val="000000"/>
          <w:sz w:val="24"/>
          <w:szCs w:val="24"/>
        </w:rPr>
        <w:t>m  documentos</w:t>
      </w:r>
      <w:proofErr w:type="gramEnd"/>
      <w:r>
        <w:rPr>
          <w:color w:val="000000"/>
          <w:sz w:val="24"/>
          <w:szCs w:val="24"/>
        </w:rPr>
        <w:t xml:space="preserve"> (fls.---).</w:t>
      </w:r>
    </w:p>
    <w:p w:rsidR="00090112" w:rsidRDefault="00090112">
      <w:pPr>
        <w:pStyle w:val="Textbody"/>
        <w:tabs>
          <w:tab w:val="left" w:pos="1134"/>
        </w:tabs>
        <w:ind w:left="1134" w:firstLine="3288"/>
        <w:jc w:val="both"/>
        <w:rPr>
          <w:sz w:val="24"/>
          <w:szCs w:val="24"/>
        </w:rPr>
      </w:pPr>
    </w:p>
    <w:p w:rsidR="00090112" w:rsidRDefault="003C5082">
      <w:pPr>
        <w:pStyle w:val="Textbody"/>
        <w:tabs>
          <w:tab w:val="left" w:pos="1134"/>
        </w:tabs>
        <w:ind w:left="1134" w:firstLine="3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Relatei. Decido.</w:t>
      </w:r>
    </w:p>
    <w:p w:rsidR="00090112" w:rsidRDefault="00090112">
      <w:pPr>
        <w:pStyle w:val="Textbody"/>
        <w:tabs>
          <w:tab w:val="left" w:pos="1134"/>
        </w:tabs>
        <w:ind w:left="1134" w:firstLine="3288"/>
        <w:jc w:val="both"/>
        <w:rPr>
          <w:color w:val="000000"/>
          <w:sz w:val="24"/>
          <w:szCs w:val="24"/>
        </w:rPr>
      </w:pPr>
    </w:p>
    <w:p w:rsidR="00090112" w:rsidRDefault="003C5082">
      <w:pPr>
        <w:pStyle w:val="Textbody"/>
        <w:ind w:left="1134" w:firstLine="3402"/>
        <w:jc w:val="both"/>
      </w:pPr>
      <w:r>
        <w:rPr>
          <w:color w:val="000000"/>
          <w:sz w:val="24"/>
          <w:szCs w:val="24"/>
        </w:rPr>
        <w:t>O legislador ordinário condicionou a antecipação da tutela à existência concomitante da prova inequívoca e do fundado receio de dano irreparável ou de difícil reparação, aplicando-se, na verificação desse pressup</w:t>
      </w:r>
      <w:r>
        <w:rPr>
          <w:color w:val="000000"/>
          <w:sz w:val="24"/>
          <w:szCs w:val="24"/>
        </w:rPr>
        <w:t>osto, os mesmos princípios relativos ao </w:t>
      </w:r>
      <w:r>
        <w:rPr>
          <w:rStyle w:val="nfase"/>
          <w:i w:val="0"/>
          <w:color w:val="000000"/>
          <w:sz w:val="24"/>
          <w:szCs w:val="24"/>
        </w:rPr>
        <w:t>periculum in mora</w:t>
      </w:r>
      <w:r>
        <w:rPr>
          <w:color w:val="000000"/>
          <w:sz w:val="24"/>
          <w:szCs w:val="24"/>
        </w:rPr>
        <w:t>.</w:t>
      </w:r>
    </w:p>
    <w:p w:rsidR="00090112" w:rsidRDefault="003C5082">
      <w:pPr>
        <w:pStyle w:val="Textbody"/>
        <w:ind w:left="1134" w:firstLine="3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direito invocado pelo autor é razoável ou, no mínimo, plausível, estando demonstrado pela documentação que instrui a inicial.</w:t>
      </w:r>
    </w:p>
    <w:p w:rsidR="00090112" w:rsidRDefault="003C5082">
      <w:pPr>
        <w:pStyle w:val="Textbody"/>
        <w:ind w:left="1134" w:firstLine="3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 juízo de cognição sumária, convenci-me que apenas as providências </w:t>
      </w:r>
      <w:r>
        <w:rPr>
          <w:color w:val="000000"/>
          <w:sz w:val="24"/>
          <w:szCs w:val="24"/>
        </w:rPr>
        <w:t>requeridas em face do primeiro réu merecem análise durante o plantão forense (artigo 2</w:t>
      </w:r>
      <w:proofErr w:type="gramStart"/>
      <w:r>
        <w:rPr>
          <w:color w:val="000000"/>
          <w:sz w:val="24"/>
          <w:szCs w:val="24"/>
        </w:rPr>
        <w:t>º,VI</w:t>
      </w:r>
      <w:proofErr w:type="gramEnd"/>
      <w:r>
        <w:rPr>
          <w:color w:val="000000"/>
          <w:sz w:val="24"/>
          <w:szCs w:val="24"/>
        </w:rPr>
        <w:t>, Resolução nº 18/2009 – TJGO).</w:t>
      </w:r>
    </w:p>
    <w:p w:rsidR="00090112" w:rsidRDefault="00090112">
      <w:pPr>
        <w:pStyle w:val="Textbody"/>
        <w:ind w:left="1134" w:firstLine="3402"/>
        <w:jc w:val="both"/>
        <w:rPr>
          <w:color w:val="000000"/>
          <w:sz w:val="24"/>
          <w:szCs w:val="24"/>
        </w:rPr>
      </w:pPr>
    </w:p>
    <w:p w:rsidR="00090112" w:rsidRDefault="003C5082">
      <w:pPr>
        <w:pStyle w:val="Textbody"/>
        <w:ind w:left="1134" w:firstLine="3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Isso porque a limitação de viagens já está acontecendo e a demora na apreciação do pedido pode aumentar os prejuízos suportados pelos</w:t>
      </w:r>
      <w:r>
        <w:rPr>
          <w:color w:val="000000"/>
          <w:sz w:val="24"/>
          <w:szCs w:val="24"/>
        </w:rPr>
        <w:t xml:space="preserve"> usuários do sistema de transporte.</w:t>
      </w:r>
    </w:p>
    <w:p w:rsidR="00090112" w:rsidRDefault="00090112">
      <w:pPr>
        <w:pStyle w:val="Textbody"/>
        <w:ind w:left="1134" w:firstLine="3402"/>
        <w:jc w:val="both"/>
        <w:rPr>
          <w:color w:val="000000"/>
          <w:sz w:val="24"/>
          <w:szCs w:val="24"/>
        </w:rPr>
      </w:pPr>
    </w:p>
    <w:p w:rsidR="00090112" w:rsidRDefault="003C5082">
      <w:pPr>
        <w:pStyle w:val="Textbody"/>
        <w:ind w:left="1134" w:firstLine="3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Evidente que a demora na entrega da prestação jurisdicional poderá trazer sérios prejuízos aos usuários que no início da semana precisam do transporte para os deslocamentos necessários.</w:t>
      </w:r>
    </w:p>
    <w:p w:rsidR="00090112" w:rsidRDefault="00090112">
      <w:pPr>
        <w:pStyle w:val="Textbody"/>
        <w:ind w:left="567" w:firstLine="3402"/>
        <w:jc w:val="both"/>
        <w:rPr>
          <w:color w:val="000000"/>
          <w:sz w:val="24"/>
          <w:szCs w:val="24"/>
        </w:rPr>
      </w:pPr>
    </w:p>
    <w:p w:rsidR="00090112" w:rsidRDefault="003C5082">
      <w:pPr>
        <w:pStyle w:val="Textbody"/>
        <w:ind w:left="1134" w:firstLine="3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Quanto a este pedido o </w:t>
      </w:r>
      <w:proofErr w:type="gramStart"/>
      <w:r>
        <w:rPr>
          <w:color w:val="000000"/>
          <w:sz w:val="24"/>
          <w:szCs w:val="24"/>
        </w:rPr>
        <w:t>autor  d</w:t>
      </w:r>
      <w:r>
        <w:rPr>
          <w:color w:val="000000"/>
          <w:sz w:val="24"/>
          <w:szCs w:val="24"/>
        </w:rPr>
        <w:t>emonstrou</w:t>
      </w:r>
      <w:proofErr w:type="gramEnd"/>
      <w:r>
        <w:rPr>
          <w:color w:val="000000"/>
          <w:sz w:val="24"/>
          <w:szCs w:val="24"/>
        </w:rPr>
        <w:t xml:space="preserve"> a urgência na concessão da medida.</w:t>
      </w:r>
    </w:p>
    <w:p w:rsidR="00090112" w:rsidRDefault="00090112">
      <w:pPr>
        <w:pStyle w:val="Textbody"/>
        <w:ind w:left="1134" w:firstLine="3402"/>
        <w:jc w:val="both"/>
        <w:rPr>
          <w:color w:val="000000"/>
          <w:sz w:val="24"/>
          <w:szCs w:val="24"/>
        </w:rPr>
      </w:pPr>
    </w:p>
    <w:p w:rsidR="00090112" w:rsidRDefault="003C5082">
      <w:pPr>
        <w:pStyle w:val="Textbody"/>
        <w:ind w:left="1134" w:firstLine="3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 desarrazoada a conduta do primeiro réu em limitar a concessão do benefício de “meia tarifa” do sistema eixo Anhanguera ao número de 04 (quatro) viagens por dia, o que resulta em violação ao direito de ir e vi</w:t>
      </w:r>
      <w:r>
        <w:rPr>
          <w:color w:val="000000"/>
          <w:sz w:val="24"/>
          <w:szCs w:val="24"/>
        </w:rPr>
        <w:t>r do cidadão, garantido pela Constituição Federal.</w:t>
      </w:r>
    </w:p>
    <w:p w:rsidR="00090112" w:rsidRDefault="003C5082">
      <w:pPr>
        <w:pStyle w:val="Textbody"/>
        <w:ind w:left="1134" w:firstLine="3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Vê-se claramente que as razões apresentadas pelo primeiro réu em reunião realizada com o autor e outros interessados (ata anexa) não apresenta justa causa, sendo elas abusivas e violadoras do direito do us</w:t>
      </w:r>
      <w:r>
        <w:rPr>
          <w:color w:val="000000"/>
          <w:sz w:val="24"/>
          <w:szCs w:val="24"/>
        </w:rPr>
        <w:t>uário.</w:t>
      </w:r>
    </w:p>
    <w:p w:rsidR="00090112" w:rsidRDefault="00090112">
      <w:pPr>
        <w:pStyle w:val="Textbody"/>
        <w:ind w:left="1134" w:firstLine="3402"/>
        <w:jc w:val="both"/>
        <w:rPr>
          <w:color w:val="000000"/>
          <w:sz w:val="24"/>
          <w:szCs w:val="24"/>
        </w:rPr>
      </w:pPr>
    </w:p>
    <w:p w:rsidR="00090112" w:rsidRDefault="003C5082">
      <w:pPr>
        <w:pStyle w:val="Textbody"/>
        <w:ind w:left="1134" w:firstLine="3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Eventuais fraudes ao sistema não podem ser debitadas ao usuário, exigindo-se das autoridades competentes a gestão correta do serviço e fiscalização necessária.</w:t>
      </w:r>
    </w:p>
    <w:p w:rsidR="00090112" w:rsidRDefault="00090112">
      <w:pPr>
        <w:pStyle w:val="Textbody"/>
        <w:tabs>
          <w:tab w:val="right" w:pos="9071"/>
        </w:tabs>
        <w:ind w:left="1134" w:firstLine="3402"/>
        <w:jc w:val="both"/>
        <w:rPr>
          <w:sz w:val="24"/>
          <w:szCs w:val="24"/>
        </w:rPr>
      </w:pPr>
    </w:p>
    <w:p w:rsidR="00090112" w:rsidRDefault="003C5082">
      <w:pPr>
        <w:pStyle w:val="Textbody"/>
        <w:tabs>
          <w:tab w:val="right" w:pos="9071"/>
        </w:tabs>
        <w:ind w:left="1134" w:firstLine="3402"/>
        <w:jc w:val="both"/>
        <w:rPr>
          <w:sz w:val="24"/>
          <w:szCs w:val="24"/>
        </w:rPr>
      </w:pPr>
      <w:r>
        <w:rPr>
          <w:sz w:val="24"/>
          <w:szCs w:val="24"/>
        </w:rPr>
        <w:t>Igualmente, a deficiência nos pontos de vendas de recarga do cartão implica em impedim</w:t>
      </w:r>
      <w:r>
        <w:rPr>
          <w:sz w:val="24"/>
          <w:szCs w:val="24"/>
        </w:rPr>
        <w:t>ento ao acesso do serviço, o que precisa ser corrigido.</w:t>
      </w:r>
    </w:p>
    <w:p w:rsidR="00090112" w:rsidRDefault="00090112">
      <w:pPr>
        <w:pStyle w:val="Textbody"/>
        <w:tabs>
          <w:tab w:val="left" w:pos="1134"/>
          <w:tab w:val="center" w:pos="1701"/>
          <w:tab w:val="center" w:pos="2127"/>
        </w:tabs>
        <w:ind w:left="1134" w:firstLine="3402"/>
        <w:jc w:val="both"/>
        <w:rPr>
          <w:color w:val="000000"/>
          <w:sz w:val="24"/>
          <w:szCs w:val="24"/>
        </w:rPr>
      </w:pPr>
    </w:p>
    <w:p w:rsidR="00090112" w:rsidRDefault="003C5082">
      <w:pPr>
        <w:pStyle w:val="Textbody"/>
        <w:tabs>
          <w:tab w:val="left" w:pos="1134"/>
          <w:tab w:val="center" w:pos="1701"/>
          <w:tab w:val="center" w:pos="2127"/>
        </w:tabs>
        <w:ind w:left="1134" w:firstLine="34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Nestas condições, DEFIRO em parte o pedido de antecipação da tutela jurisdicional, para determinar ao SINDICATO DAS EMPRESAS DE TRANSPORTE COLETIVO URBANO DE PASSAGEIROS DE GOIÂNIA (SETRANSP) que, n</w:t>
      </w:r>
      <w:r>
        <w:rPr>
          <w:color w:val="000000"/>
          <w:sz w:val="24"/>
          <w:szCs w:val="24"/>
        </w:rPr>
        <w:t>o prazo de 24 horas, não limite o número de viagens pelo cartão fácil com a redução tarifária, no sistema eixo anhanguera – de forma que o acesso às plataformas do referido eixo mediante uso do cartão fácil seja feito de modo irrestrito, sem qualquer limit</w:t>
      </w:r>
      <w:r>
        <w:rPr>
          <w:color w:val="000000"/>
          <w:sz w:val="24"/>
          <w:szCs w:val="24"/>
        </w:rPr>
        <w:t>ação do número de viagens, e ainda disponibilize pontos de vendas de recargas das passagens para o cartão fácil em número suficiente para atender a demanda, implantando um segundo chip nas máquinas de recarga como forma de agilizar o serviço.</w:t>
      </w:r>
    </w:p>
    <w:p w:rsidR="00090112" w:rsidRDefault="00090112">
      <w:pPr>
        <w:pStyle w:val="Textbody"/>
        <w:ind w:left="1134" w:firstLine="3402"/>
        <w:jc w:val="both"/>
        <w:rPr>
          <w:color w:val="000000"/>
          <w:sz w:val="24"/>
          <w:szCs w:val="24"/>
        </w:rPr>
      </w:pPr>
    </w:p>
    <w:p w:rsidR="00090112" w:rsidRDefault="003C5082">
      <w:pPr>
        <w:pStyle w:val="Textbody"/>
        <w:ind w:left="1134" w:firstLine="3402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lastRenderedPageBreak/>
        <w:t>De outro lad</w:t>
      </w:r>
      <w:r>
        <w:rPr>
          <w:color w:val="000000"/>
          <w:sz w:val="24"/>
          <w:szCs w:val="24"/>
        </w:rPr>
        <w:t>o, quanto a proibição de aumento da tarifa não vislumbro urgência, de forma que poderá ser apreciado pelo juiz da causa no início do expediente normal.</w:t>
      </w:r>
    </w:p>
    <w:p w:rsidR="00090112" w:rsidRDefault="00090112">
      <w:pPr>
        <w:pStyle w:val="Textbody"/>
        <w:tabs>
          <w:tab w:val="left" w:pos="567"/>
        </w:tabs>
        <w:ind w:left="567" w:firstLine="3969"/>
        <w:jc w:val="both"/>
        <w:rPr>
          <w:color w:val="000000"/>
          <w:sz w:val="24"/>
          <w:szCs w:val="24"/>
        </w:rPr>
      </w:pPr>
    </w:p>
    <w:p w:rsidR="00090112" w:rsidRDefault="003C5082">
      <w:pPr>
        <w:pStyle w:val="Textbody"/>
        <w:tabs>
          <w:tab w:val="left" w:pos="1191"/>
        </w:tabs>
        <w:ind w:left="1191" w:firstLine="3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 o caso de descumprimento da ordem, fixo multa diária de R$ 5.000,00 (cinco mil reais), limitada a </w:t>
      </w:r>
      <w:r>
        <w:rPr>
          <w:color w:val="000000"/>
          <w:sz w:val="24"/>
          <w:szCs w:val="24"/>
        </w:rPr>
        <w:t>cinquenta</w:t>
      </w:r>
      <w:r w:rsidR="0005400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50) dias multa.</w:t>
      </w:r>
    </w:p>
    <w:p w:rsidR="00090112" w:rsidRDefault="00090112">
      <w:pPr>
        <w:pStyle w:val="Textbody"/>
        <w:tabs>
          <w:tab w:val="left" w:pos="567"/>
        </w:tabs>
        <w:ind w:left="567" w:firstLine="3969"/>
        <w:jc w:val="both"/>
        <w:rPr>
          <w:sz w:val="24"/>
          <w:szCs w:val="24"/>
        </w:rPr>
      </w:pPr>
    </w:p>
    <w:p w:rsidR="00090112" w:rsidRDefault="003C5082">
      <w:pPr>
        <w:pStyle w:val="Textbody"/>
        <w:tabs>
          <w:tab w:val="left" w:pos="1134"/>
        </w:tabs>
        <w:ind w:left="1134" w:firstLine="3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Expeça-se mandado para o cumprimento da liminar.</w:t>
      </w:r>
    </w:p>
    <w:p w:rsidR="00090112" w:rsidRDefault="00090112">
      <w:pPr>
        <w:pStyle w:val="Textbody"/>
        <w:tabs>
          <w:tab w:val="left" w:pos="567"/>
        </w:tabs>
        <w:ind w:left="567" w:firstLine="3969"/>
        <w:jc w:val="both"/>
        <w:rPr>
          <w:sz w:val="24"/>
          <w:szCs w:val="24"/>
        </w:rPr>
      </w:pPr>
    </w:p>
    <w:p w:rsidR="00090112" w:rsidRDefault="003C5082">
      <w:pPr>
        <w:pStyle w:val="Textbody"/>
        <w:tabs>
          <w:tab w:val="left" w:pos="567"/>
        </w:tabs>
        <w:ind w:left="567" w:firstLine="40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Citem-se e intimem-se.</w:t>
      </w:r>
    </w:p>
    <w:p w:rsidR="00090112" w:rsidRDefault="00090112">
      <w:pPr>
        <w:pStyle w:val="Textbody"/>
        <w:tabs>
          <w:tab w:val="left" w:pos="567"/>
        </w:tabs>
        <w:ind w:left="567" w:firstLine="3969"/>
        <w:jc w:val="both"/>
        <w:rPr>
          <w:sz w:val="24"/>
          <w:szCs w:val="24"/>
        </w:rPr>
      </w:pPr>
    </w:p>
    <w:p w:rsidR="00090112" w:rsidRDefault="003C5082">
      <w:pPr>
        <w:pStyle w:val="Textbody"/>
        <w:tabs>
          <w:tab w:val="left" w:pos="567"/>
        </w:tabs>
        <w:ind w:left="567" w:firstLine="3969"/>
        <w:jc w:val="both"/>
        <w:rPr>
          <w:sz w:val="24"/>
          <w:szCs w:val="24"/>
        </w:rPr>
      </w:pPr>
      <w:r>
        <w:rPr>
          <w:sz w:val="24"/>
          <w:szCs w:val="24"/>
        </w:rPr>
        <w:t>Goiânia, 18/10/2015.</w:t>
      </w:r>
    </w:p>
    <w:p w:rsidR="00090112" w:rsidRDefault="00090112">
      <w:pPr>
        <w:pStyle w:val="Textbody"/>
        <w:tabs>
          <w:tab w:val="left" w:pos="567"/>
        </w:tabs>
        <w:ind w:left="567" w:firstLine="3969"/>
        <w:jc w:val="both"/>
        <w:rPr>
          <w:sz w:val="24"/>
          <w:szCs w:val="24"/>
        </w:rPr>
      </w:pPr>
    </w:p>
    <w:p w:rsidR="00090112" w:rsidRDefault="003C5082">
      <w:pPr>
        <w:pStyle w:val="Textbody"/>
        <w:tabs>
          <w:tab w:val="left" w:pos="567"/>
        </w:tabs>
        <w:ind w:left="567" w:firstLine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</w:t>
      </w:r>
      <w:proofErr w:type="spellStart"/>
      <w:r>
        <w:rPr>
          <w:sz w:val="24"/>
          <w:szCs w:val="24"/>
        </w:rPr>
        <w:t>Umbelina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Zorzetti</w:t>
      </w:r>
      <w:proofErr w:type="spellEnd"/>
    </w:p>
    <w:p w:rsidR="00090112" w:rsidRDefault="003C5082">
      <w:pPr>
        <w:pStyle w:val="Textbody"/>
        <w:tabs>
          <w:tab w:val="left" w:pos="0"/>
        </w:tabs>
        <w:jc w:val="both"/>
      </w:pPr>
      <w:r>
        <w:rPr>
          <w:sz w:val="24"/>
          <w:szCs w:val="24"/>
        </w:rPr>
        <w:t xml:space="preserve">                                                                               Juíza de Direito/</w:t>
      </w:r>
      <w:proofErr w:type="spellStart"/>
      <w:r>
        <w:rPr>
          <w:sz w:val="24"/>
          <w:szCs w:val="24"/>
        </w:rPr>
        <w:t>Plant</w:t>
      </w:r>
      <w:proofErr w:type="spellEnd"/>
      <w:r>
        <w:rPr>
          <w:sz w:val="24"/>
          <w:szCs w:val="24"/>
        </w:rPr>
        <w:t>.</w:t>
      </w:r>
    </w:p>
    <w:sectPr w:rsidR="00090112">
      <w:headerReference w:type="default" r:id="rId7"/>
      <w:pgSz w:w="11906" w:h="16838"/>
      <w:pgMar w:top="3075" w:right="1705" w:bottom="720" w:left="1701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082" w:rsidRDefault="003C5082">
      <w:r>
        <w:separator/>
      </w:r>
    </w:p>
  </w:endnote>
  <w:endnote w:type="continuationSeparator" w:id="0">
    <w:p w:rsidR="003C5082" w:rsidRDefault="003C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cho, msmincho"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san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082" w:rsidRDefault="003C5082">
      <w:r>
        <w:rPr>
          <w:color w:val="000000"/>
        </w:rPr>
        <w:separator/>
      </w:r>
    </w:p>
  </w:footnote>
  <w:footnote w:type="continuationSeparator" w:id="0">
    <w:p w:rsidR="003C5082" w:rsidRDefault="003C5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82"/>
      <w:gridCol w:w="5127"/>
    </w:tblGrid>
    <w:tr w:rsidR="00B419E4">
      <w:tblPrEx>
        <w:tblCellMar>
          <w:top w:w="0" w:type="dxa"/>
          <w:bottom w:w="0" w:type="dxa"/>
        </w:tblCellMar>
      </w:tblPrEx>
      <w:trPr>
        <w:trHeight w:val="960"/>
      </w:trPr>
      <w:tc>
        <w:tcPr>
          <w:tcW w:w="3382" w:type="dxa"/>
          <w:tcMar>
            <w:top w:w="0" w:type="dxa"/>
            <w:left w:w="0" w:type="dxa"/>
            <w:bottom w:w="0" w:type="dxa"/>
            <w:right w:w="0" w:type="dxa"/>
          </w:tcMar>
        </w:tcPr>
        <w:p w:rsidR="00B419E4" w:rsidRDefault="003C5082">
          <w:pPr>
            <w:pStyle w:val="TableContents"/>
            <w:tabs>
              <w:tab w:val="left" w:pos="960"/>
            </w:tabs>
            <w:snapToGrid w:val="0"/>
          </w:pPr>
          <w:r>
            <w:rPr>
              <w:noProof/>
              <w:lang w:eastAsia="pt-BR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28080</wp:posOffset>
                </wp:positionH>
                <wp:positionV relativeFrom="paragraph">
                  <wp:posOffset>0</wp:posOffset>
                </wp:positionV>
                <wp:extent cx="1839599" cy="664920"/>
                <wp:effectExtent l="0" t="0" r="8251" b="1830"/>
                <wp:wrapTopAndBottom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599" cy="6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27" w:type="dxa"/>
          <w:tcMar>
            <w:top w:w="0" w:type="dxa"/>
            <w:left w:w="0" w:type="dxa"/>
            <w:bottom w:w="0" w:type="dxa"/>
            <w:right w:w="0" w:type="dxa"/>
          </w:tcMar>
        </w:tcPr>
        <w:p w:rsidR="00B419E4" w:rsidRDefault="003C5082">
          <w:pPr>
            <w:pStyle w:val="Cabealho"/>
            <w:snapToGrid w:val="0"/>
            <w:rPr>
              <w:rFonts w:ascii="Arial" w:hAnsi="Arial"/>
              <w:color w:val="4C4C4C"/>
              <w:sz w:val="18"/>
              <w:szCs w:val="18"/>
              <w:lang w:bidi="ar-SA"/>
            </w:rPr>
          </w:pPr>
        </w:p>
        <w:p w:rsidR="00B419E4" w:rsidRDefault="003C5082">
          <w:pPr>
            <w:pStyle w:val="Cabealho"/>
            <w:rPr>
              <w:rFonts w:ascii="Arial" w:hAnsi="Arial"/>
              <w:color w:val="4C4C4C"/>
              <w:sz w:val="21"/>
              <w:szCs w:val="21"/>
              <w:lang w:bidi="ar-SA"/>
            </w:rPr>
          </w:pPr>
          <w:r>
            <w:rPr>
              <w:rFonts w:ascii="Arial" w:hAnsi="Arial"/>
              <w:color w:val="4C4C4C"/>
              <w:sz w:val="21"/>
              <w:szCs w:val="21"/>
              <w:lang w:bidi="ar-SA"/>
            </w:rPr>
            <w:t>PODER JUDICIÁRIO</w:t>
          </w:r>
        </w:p>
        <w:p w:rsidR="00B419E4" w:rsidRDefault="003C5082">
          <w:pPr>
            <w:pStyle w:val="Cabealho"/>
            <w:rPr>
              <w:rFonts w:ascii="Arial" w:hAnsi="Arial"/>
              <w:color w:val="4C4C4C"/>
              <w:sz w:val="21"/>
              <w:szCs w:val="21"/>
              <w:lang w:bidi="ar-SA"/>
            </w:rPr>
          </w:pPr>
          <w:r>
            <w:rPr>
              <w:rFonts w:ascii="Arial" w:hAnsi="Arial"/>
              <w:color w:val="4C4C4C"/>
              <w:sz w:val="21"/>
              <w:szCs w:val="21"/>
              <w:lang w:bidi="ar-SA"/>
            </w:rPr>
            <w:t>Comarca de Goiânia</w:t>
          </w:r>
        </w:p>
        <w:p w:rsidR="00B419E4" w:rsidRDefault="003C5082">
          <w:pPr>
            <w:pStyle w:val="Cabealho"/>
            <w:rPr>
              <w:rFonts w:ascii="Arial" w:hAnsi="Arial"/>
              <w:color w:val="4C4C4C"/>
              <w:sz w:val="21"/>
              <w:szCs w:val="21"/>
              <w:lang w:bidi="ar-SA"/>
            </w:rPr>
          </w:pPr>
          <w:r>
            <w:rPr>
              <w:rFonts w:ascii="Arial" w:hAnsi="Arial"/>
              <w:color w:val="4C4C4C"/>
              <w:sz w:val="21"/>
              <w:szCs w:val="21"/>
              <w:lang w:bidi="ar-SA"/>
            </w:rPr>
            <w:t>PLANTÃO FORENSE</w:t>
          </w:r>
        </w:p>
        <w:p w:rsidR="00B419E4" w:rsidRDefault="003C5082">
          <w:pPr>
            <w:pStyle w:val="Cabealho"/>
            <w:rPr>
              <w:rFonts w:ascii="Arial" w:hAnsi="Arial"/>
              <w:color w:val="4C4C4C"/>
              <w:sz w:val="22"/>
              <w:szCs w:val="22"/>
              <w:lang w:bidi="ar-SA"/>
            </w:rPr>
          </w:pPr>
        </w:p>
      </w:tc>
    </w:tr>
  </w:tbl>
  <w:p w:rsidR="00B419E4" w:rsidRDefault="003C5082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64CF0"/>
    <w:multiLevelType w:val="multilevel"/>
    <w:tmpl w:val="BFD6E5A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90112"/>
    <w:rsid w:val="0005400B"/>
    <w:rsid w:val="00090112"/>
    <w:rsid w:val="003C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9E0E4-EED2-4825-B66A-5C12B4B7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ahoma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134" w:right="848"/>
      <w:jc w:val="center"/>
      <w:outlineLvl w:val="0"/>
    </w:pPr>
    <w:rPr>
      <w:rFonts w:ascii="Comic Sans MS" w:eastAsia="Comic Sans MS" w:hAnsi="Comic Sans MS" w:cs="Comic Sans MS"/>
      <w:color w:val="000000"/>
      <w:sz w:val="24"/>
      <w:szCs w:val="28"/>
    </w:rPr>
  </w:style>
  <w:style w:type="paragraph" w:styleId="Ttulo2">
    <w:name w:val="heading 2"/>
    <w:basedOn w:val="Standard"/>
    <w:next w:val="Standard"/>
    <w:pPr>
      <w:keepNext/>
      <w:ind w:left="1134" w:right="-91"/>
      <w:jc w:val="both"/>
      <w:outlineLvl w:val="1"/>
    </w:pPr>
    <w:rPr>
      <w:rFonts w:ascii="Comic Sans MS" w:eastAsia="Comic Sans MS" w:hAnsi="Comic Sans MS" w:cs="Comic Sans MS"/>
      <w:color w:val="000000"/>
      <w:sz w:val="24"/>
    </w:rPr>
  </w:style>
  <w:style w:type="paragraph" w:styleId="Ttulo3">
    <w:name w:val="heading 3"/>
    <w:basedOn w:val="Standard"/>
    <w:next w:val="Standard"/>
    <w:pPr>
      <w:keepNext/>
      <w:ind w:left="1134" w:right="-286" w:firstLine="3402"/>
      <w:jc w:val="both"/>
      <w:outlineLvl w:val="2"/>
    </w:pPr>
    <w:rPr>
      <w:rFonts w:ascii="Comic Sans MS" w:eastAsia="Comic Sans MS" w:hAnsi="Comic Sans MS" w:cs="Comic Sans MS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autoSpaceDE w:val="0"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WW-TtuloPrincipal111"/>
    <w:next w:val="Textbody"/>
    <w:pPr>
      <w:jc w:val="center"/>
    </w:pPr>
    <w:rPr>
      <w:i/>
      <w:iCs/>
    </w:rPr>
  </w:style>
  <w:style w:type="paragraph" w:styleId="Lista">
    <w:name w:val="List"/>
    <w:basedOn w:val="Textbody"/>
    <w:rPr>
      <w:rFonts w:cs="Lucida Sans Unicode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sans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Mincho, msmincho" w:hAnsi="Arial" w:cs="Lucida Sans Unicode"/>
      <w:sz w:val="28"/>
      <w:szCs w:val="28"/>
    </w:rPr>
  </w:style>
  <w:style w:type="paragraph" w:customStyle="1" w:styleId="TtuloPrincipal">
    <w:name w:val="Título Principal"/>
    <w:basedOn w:val="Standard"/>
    <w:next w:val="Textbody"/>
    <w:pPr>
      <w:keepNext/>
      <w:spacing w:before="240" w:after="120"/>
    </w:pPr>
    <w:rPr>
      <w:rFonts w:ascii="Arial" w:eastAsia="Mincho, msmincho" w:hAnsi="Arial" w:cs="Lucidasans"/>
      <w:sz w:val="28"/>
      <w:szCs w:val="28"/>
    </w:rPr>
  </w:style>
  <w:style w:type="paragraph" w:customStyle="1" w:styleId="WW-Legenda">
    <w:name w:val="WW-Legenda"/>
    <w:basedOn w:val="Standard"/>
    <w:pPr>
      <w:suppressLineNumbers/>
      <w:spacing w:before="120" w:after="120"/>
    </w:pPr>
    <w:rPr>
      <w:rFonts w:cs="Mincho, msmincho"/>
      <w:i/>
      <w:iCs/>
    </w:rPr>
  </w:style>
  <w:style w:type="paragraph" w:customStyle="1" w:styleId="WW-ndice">
    <w:name w:val="WW-Índice"/>
    <w:basedOn w:val="Standard"/>
    <w:pPr>
      <w:suppressLineNumbers/>
    </w:pPr>
    <w:rPr>
      <w:rFonts w:cs="Mincho, msmincho"/>
    </w:rPr>
  </w:style>
  <w:style w:type="paragraph" w:customStyle="1" w:styleId="WW-TtuloPrincipal111">
    <w:name w:val="WW-Título Principal111"/>
    <w:basedOn w:val="Standard"/>
    <w:next w:val="Textbody"/>
    <w:pPr>
      <w:keepNext/>
      <w:spacing w:before="240" w:after="120"/>
    </w:pPr>
    <w:rPr>
      <w:rFonts w:ascii="Arial" w:eastAsia="Mincho, msmincho" w:hAnsi="Arial" w:cs="Lucida Sans Unicode"/>
      <w:sz w:val="28"/>
      <w:szCs w:val="28"/>
    </w:rPr>
  </w:style>
  <w:style w:type="paragraph" w:customStyle="1" w:styleId="WW-TtuloPrincipal">
    <w:name w:val="WW-Título Principal"/>
    <w:basedOn w:val="Standard"/>
    <w:next w:val="Textbody"/>
    <w:pPr>
      <w:keepNext/>
      <w:spacing w:before="240" w:after="120"/>
    </w:pPr>
    <w:rPr>
      <w:rFonts w:ascii="Arial" w:eastAsia="Mincho, msmincho" w:hAnsi="Arial" w:cs="Mincho, msmincho"/>
      <w:sz w:val="28"/>
      <w:szCs w:val="28"/>
    </w:rPr>
  </w:style>
  <w:style w:type="paragraph" w:customStyle="1" w:styleId="WW-Legenda1">
    <w:name w:val="WW-Legenda1"/>
    <w:basedOn w:val="Standard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ndice1">
    <w:name w:val="WW-Índice1"/>
    <w:basedOn w:val="Standard"/>
    <w:pPr>
      <w:suppressLineNumbers/>
    </w:pPr>
    <w:rPr>
      <w:rFonts w:cs="Lucida Sans Unicode"/>
    </w:rPr>
  </w:style>
  <w:style w:type="paragraph" w:customStyle="1" w:styleId="WW-TtuloPrincipal1">
    <w:name w:val="WW-Título Principal1"/>
    <w:basedOn w:val="Standard"/>
    <w:next w:val="Textbody"/>
    <w:pPr>
      <w:keepNext/>
      <w:spacing w:before="240" w:after="120"/>
    </w:pPr>
    <w:rPr>
      <w:rFonts w:ascii="Arial" w:eastAsia="Mincho, msmincho" w:hAnsi="Arial" w:cs="Lucida Sans Unicode"/>
      <w:sz w:val="28"/>
      <w:szCs w:val="28"/>
    </w:rPr>
  </w:style>
  <w:style w:type="paragraph" w:customStyle="1" w:styleId="WW-Legenda11">
    <w:name w:val="WW-Legenda11"/>
    <w:basedOn w:val="Standard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ndice11">
    <w:name w:val="WW-Índice11"/>
    <w:basedOn w:val="Standard"/>
    <w:pPr>
      <w:suppressLineNumbers/>
    </w:pPr>
    <w:rPr>
      <w:rFonts w:cs="Lucida Sans Unicode"/>
    </w:rPr>
  </w:style>
  <w:style w:type="paragraph" w:customStyle="1" w:styleId="WW-TtuloPrincipal11">
    <w:name w:val="WW-Título Principal11"/>
    <w:basedOn w:val="Standard"/>
    <w:next w:val="Textbody"/>
    <w:pPr>
      <w:keepNext/>
      <w:spacing w:before="240" w:after="120"/>
    </w:pPr>
    <w:rPr>
      <w:rFonts w:ascii="Arial" w:eastAsia="Mincho, msmincho" w:hAnsi="Arial" w:cs="Lucida Sans Unicode"/>
      <w:sz w:val="28"/>
      <w:szCs w:val="28"/>
    </w:rPr>
  </w:style>
  <w:style w:type="paragraph" w:customStyle="1" w:styleId="WW-Legenda111">
    <w:name w:val="WW-Legenda111"/>
    <w:basedOn w:val="Standard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ndice111">
    <w:name w:val="WW-Índice111"/>
    <w:basedOn w:val="Standard"/>
    <w:pPr>
      <w:suppressLineNumbers/>
    </w:pPr>
    <w:rPr>
      <w:rFonts w:cs="Lucida Sans Unicode"/>
    </w:rPr>
  </w:style>
  <w:style w:type="paragraph" w:customStyle="1" w:styleId="WW-TtuloPrincipal1112">
    <w:name w:val="WW-Título Principal1112"/>
    <w:basedOn w:val="Standard"/>
    <w:next w:val="Textbody"/>
    <w:pPr>
      <w:keepNext/>
      <w:spacing w:before="240" w:after="120"/>
    </w:pPr>
    <w:rPr>
      <w:rFonts w:ascii="Arial" w:eastAsia="Mincho, msmincho" w:hAnsi="Arial" w:cs="Lucida Sans Unicode"/>
      <w:sz w:val="28"/>
      <w:szCs w:val="28"/>
    </w:rPr>
  </w:style>
  <w:style w:type="paragraph" w:customStyle="1" w:styleId="WW-Legenda1111">
    <w:name w:val="WW-Legenda1111"/>
    <w:basedOn w:val="Standard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ndice1111">
    <w:name w:val="WW-Índice1111"/>
    <w:basedOn w:val="Standard"/>
    <w:pPr>
      <w:suppressLineNumbers/>
    </w:pPr>
    <w:rPr>
      <w:rFonts w:cs="Lucida Sans Unicode"/>
    </w:rPr>
  </w:style>
  <w:style w:type="paragraph" w:customStyle="1" w:styleId="WW-Legenda11111">
    <w:name w:val="WW-Legenda11111"/>
    <w:basedOn w:val="Standard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ndice11111">
    <w:name w:val="WW-Índice11111"/>
    <w:basedOn w:val="Standard"/>
    <w:pPr>
      <w:suppressLineNumbers/>
    </w:pPr>
    <w:rPr>
      <w:rFonts w:cs="Lucida Sans Unicode"/>
    </w:rPr>
  </w:style>
  <w:style w:type="paragraph" w:customStyle="1" w:styleId="WW-Ttulo">
    <w:name w:val="WW-Título"/>
    <w:basedOn w:val="Standard"/>
    <w:next w:val="Textbody"/>
    <w:pPr>
      <w:keepNext/>
      <w:spacing w:before="240" w:after="120"/>
    </w:pPr>
    <w:rPr>
      <w:rFonts w:ascii="Arial" w:eastAsia="Mincho, msmincho" w:hAnsi="Arial" w:cs="Lucida Sans Unicode"/>
      <w:sz w:val="28"/>
      <w:szCs w:val="28"/>
    </w:rPr>
  </w:style>
  <w:style w:type="paragraph" w:customStyle="1" w:styleId="WW-Textoembloco">
    <w:name w:val="WW-Texto em bloco"/>
    <w:basedOn w:val="Standard"/>
    <w:pPr>
      <w:tabs>
        <w:tab w:val="left" w:pos="6090"/>
        <w:tab w:val="left" w:pos="6798"/>
        <w:tab w:val="left" w:pos="7506"/>
        <w:tab w:val="left" w:pos="8214"/>
        <w:tab w:val="left" w:pos="8922"/>
        <w:tab w:val="left" w:pos="9630"/>
      </w:tabs>
      <w:ind w:left="1134" w:right="-90" w:firstLine="3402"/>
      <w:jc w:val="both"/>
    </w:pPr>
    <w:rPr>
      <w:rFonts w:ascii="Comic Sans MS" w:eastAsia="Comic Sans MS" w:hAnsi="Comic Sans MS" w:cs="Comic Sans MS"/>
      <w:color w:val="000000"/>
      <w:sz w:val="24"/>
    </w:rPr>
  </w:style>
  <w:style w:type="paragraph" w:customStyle="1" w:styleId="WW-Recuodecorpodetexto2">
    <w:name w:val="WW-Recuo de corpo de texto 2"/>
    <w:basedOn w:val="Standard"/>
    <w:pPr>
      <w:ind w:left="1134" w:firstLine="3402"/>
      <w:jc w:val="both"/>
    </w:pPr>
    <w:rPr>
      <w:rFonts w:ascii="Comic Sans MS" w:eastAsia="Comic Sans MS" w:hAnsi="Comic Sans MS" w:cs="Comic Sans MS"/>
      <w:color w:val="000000"/>
      <w:sz w:val="24"/>
    </w:rPr>
  </w:style>
  <w:style w:type="paragraph" w:customStyle="1" w:styleId="Textbodyindent">
    <w:name w:val="Text body indent"/>
    <w:basedOn w:val="Standard"/>
    <w:pPr>
      <w:ind w:left="1985" w:firstLine="3402"/>
      <w:jc w:val="both"/>
    </w:pPr>
    <w:rPr>
      <w:color w:val="000000"/>
      <w:sz w:val="24"/>
    </w:rPr>
  </w:style>
  <w:style w:type="paragraph" w:customStyle="1" w:styleId="WW-Textoembloco1">
    <w:name w:val="WW-Texto em bloco1"/>
    <w:basedOn w:val="Standard"/>
    <w:pPr>
      <w:ind w:left="1134" w:right="848" w:firstLine="3402"/>
      <w:jc w:val="both"/>
    </w:pPr>
    <w:rPr>
      <w:rFonts w:ascii="Comic Sans MS" w:eastAsia="Comic Sans MS" w:hAnsi="Comic Sans MS" w:cs="Comic Sans MS"/>
      <w:color w:val="000000"/>
    </w:rPr>
  </w:style>
  <w:style w:type="paragraph" w:customStyle="1" w:styleId="WW-Recuodecorpodetexto21">
    <w:name w:val="WW-Recuo de corpo de texto 21"/>
    <w:basedOn w:val="Standard"/>
    <w:pPr>
      <w:ind w:left="1134" w:firstLine="3402"/>
      <w:jc w:val="both"/>
    </w:pPr>
    <w:rPr>
      <w:rFonts w:ascii="Comic Sans MS" w:eastAsia="Lucida Sans Unicode" w:hAnsi="Comic Sans MS" w:cs="Lucida Sans Unicode"/>
      <w:b/>
      <w:bCs/>
      <w:color w:val="000000"/>
    </w:rPr>
  </w:style>
  <w:style w:type="paragraph" w:customStyle="1" w:styleId="WW-Recuodecorpodetexto212">
    <w:name w:val="WW-Recuo de corpo de texto 212"/>
    <w:basedOn w:val="Standard"/>
    <w:pPr>
      <w:ind w:left="1134" w:firstLine="4500"/>
      <w:jc w:val="both"/>
    </w:pPr>
    <w:rPr>
      <w:rFonts w:ascii="Comic Sans MS" w:eastAsia="Comic Sans MS" w:hAnsi="Comic Sans MS" w:cs="Comic Sans MS"/>
      <w:color w:val="000000"/>
    </w:rPr>
  </w:style>
  <w:style w:type="paragraph" w:customStyle="1" w:styleId="western">
    <w:name w:val="western"/>
    <w:basedOn w:val="Standard"/>
    <w:pPr>
      <w:suppressAutoHyphens w:val="0"/>
      <w:spacing w:before="280" w:after="119"/>
    </w:pPr>
    <w:rPr>
      <w:szCs w:val="24"/>
    </w:rPr>
  </w:style>
  <w:style w:type="paragraph" w:customStyle="1" w:styleId="WW-Textoembloco12">
    <w:name w:val="WW-Texto em bloco12"/>
    <w:basedOn w:val="Standard"/>
    <w:pPr>
      <w:spacing w:after="120"/>
      <w:ind w:left="1134" w:right="848" w:firstLine="3402"/>
      <w:jc w:val="both"/>
    </w:pPr>
    <w:rPr>
      <w:rFonts w:ascii="Comic Sans MS" w:eastAsia="Comic Sans MS" w:hAnsi="Comic Sans MS" w:cs="Comic Sans MS"/>
      <w:sz w:val="24"/>
    </w:rPr>
  </w:style>
  <w:style w:type="paragraph" w:customStyle="1" w:styleId="WW-Recuodecorpodetexto2123">
    <w:name w:val="WW-Recuo de corpo de texto 2123"/>
    <w:basedOn w:val="Standard"/>
    <w:pPr>
      <w:autoSpaceDE/>
      <w:ind w:left="1134" w:firstLine="3402"/>
      <w:jc w:val="both"/>
    </w:pPr>
    <w:rPr>
      <w:rFonts w:ascii="Comic Sans MS" w:eastAsia="Comic Sans MS" w:hAnsi="Comic Sans MS" w:cs="Comic Sans MS"/>
      <w:sz w:val="24"/>
    </w:rPr>
  </w:style>
  <w:style w:type="paragraph" w:customStyle="1" w:styleId="Recuodeco2">
    <w:name w:val="Recuo de co2"/>
    <w:basedOn w:val="Standard"/>
    <w:pPr>
      <w:widowControl w:val="0"/>
      <w:tabs>
        <w:tab w:val="left" w:pos="4557"/>
        <w:tab w:val="left" w:pos="5457"/>
        <w:tab w:val="left" w:pos="6357"/>
        <w:tab w:val="left" w:pos="7257"/>
        <w:tab w:val="left" w:pos="8157"/>
        <w:tab w:val="left" w:pos="8838"/>
      </w:tabs>
      <w:autoSpaceDE/>
      <w:ind w:left="1134" w:firstLine="1621"/>
      <w:jc w:val="both"/>
    </w:pPr>
    <w:rPr>
      <w:rFonts w:ascii="Comic Sans MS" w:eastAsia="Comic Sans MS" w:hAnsi="Comic Sans MS" w:cs="Comic Sans MS"/>
      <w:sz w:val="24"/>
      <w:lang w:val="en-US"/>
    </w:rPr>
  </w:style>
  <w:style w:type="paragraph" w:customStyle="1" w:styleId="Recuodecor">
    <w:name w:val="Recuo de cor"/>
    <w:basedOn w:val="Standard"/>
    <w:pPr>
      <w:widowControl w:val="0"/>
      <w:tabs>
        <w:tab w:val="left" w:pos="7649"/>
        <w:tab w:val="left" w:pos="8357"/>
        <w:tab w:val="left" w:pos="9065"/>
        <w:tab w:val="left" w:pos="9773"/>
        <w:tab w:val="left" w:pos="10481"/>
      </w:tabs>
      <w:autoSpaceDE/>
      <w:ind w:left="1985" w:firstLine="3402"/>
      <w:jc w:val="both"/>
    </w:pPr>
    <w:rPr>
      <w:rFonts w:eastAsia="Lucida Sans Unicode" w:cs="Lucida Sans Unicode"/>
      <w:color w:val="000000"/>
      <w:sz w:val="24"/>
      <w:szCs w:val="24"/>
      <w:lang w:val="en-US"/>
    </w:rPr>
  </w:style>
  <w:style w:type="paragraph" w:customStyle="1" w:styleId="WW-Textoembloco123">
    <w:name w:val="WW-Texto em bloco123"/>
    <w:basedOn w:val="Standard"/>
    <w:pPr>
      <w:widowControl w:val="0"/>
      <w:tabs>
        <w:tab w:val="left" w:pos="6090"/>
        <w:tab w:val="left" w:pos="6798"/>
        <w:tab w:val="left" w:pos="7506"/>
        <w:tab w:val="left" w:pos="8214"/>
        <w:tab w:val="left" w:pos="8922"/>
        <w:tab w:val="left" w:pos="9630"/>
      </w:tabs>
      <w:autoSpaceDE/>
      <w:ind w:left="1134" w:right="-90" w:firstLine="3402"/>
      <w:jc w:val="both"/>
    </w:pPr>
    <w:rPr>
      <w:rFonts w:ascii="Comic Sans MS" w:eastAsia="Lucida Sans Unicode" w:hAnsi="Comic Sans MS" w:cs="Lucida Sans Unicode"/>
      <w:b/>
      <w:bCs/>
      <w:color w:val="000000"/>
      <w:sz w:val="24"/>
      <w:szCs w:val="24"/>
    </w:rPr>
  </w:style>
  <w:style w:type="paragraph" w:customStyle="1" w:styleId="WW-Textoembloco1234">
    <w:name w:val="WW-Texto em bloco1234"/>
    <w:basedOn w:val="Standard"/>
    <w:pPr>
      <w:ind w:left="1134" w:right="-286" w:firstLine="3402"/>
      <w:jc w:val="both"/>
    </w:pPr>
    <w:rPr>
      <w:rFonts w:ascii="Comic Sans MS" w:eastAsia="Comic Sans MS" w:hAnsi="Comic Sans MS" w:cs="Comic Sans MS"/>
      <w:sz w:val="24"/>
    </w:rPr>
  </w:style>
  <w:style w:type="paragraph" w:customStyle="1" w:styleId="WW-Recuodecorpodetexto3">
    <w:name w:val="WW-Recuo de corpo de texto 3"/>
    <w:basedOn w:val="Standard"/>
    <w:pPr>
      <w:widowControl w:val="0"/>
      <w:autoSpaceDE/>
      <w:spacing w:after="120"/>
      <w:ind w:left="283"/>
    </w:pPr>
    <w:rPr>
      <w:rFonts w:eastAsia="Lucida Sans Unicode"/>
      <w:sz w:val="16"/>
      <w:szCs w:val="16"/>
    </w:rPr>
  </w:style>
  <w:style w:type="paragraph" w:styleId="Textoembloco">
    <w:name w:val="Block Text"/>
    <w:basedOn w:val="Standard"/>
    <w:pPr>
      <w:ind w:left="1134" w:right="-286" w:firstLine="3402"/>
      <w:jc w:val="both"/>
    </w:pPr>
    <w:rPr>
      <w:rFonts w:ascii="Comic Sans MS" w:eastAsia="Comic Sans MS" w:hAnsi="Comic Sans MS" w:cs="Comic Sans MS"/>
      <w:color w:val="000000"/>
      <w:sz w:val="24"/>
    </w:rPr>
  </w:style>
  <w:style w:type="paragraph" w:styleId="Pr-formata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Verdana" w:eastAsia="Courier New" w:hAnsi="Verdana" w:cs="Courier New"/>
    </w:rPr>
  </w:style>
  <w:style w:type="paragraph" w:customStyle="1" w:styleId="Textopr-formatado">
    <w:name w:val="Texto pré-formatado"/>
    <w:basedOn w:val="Standard"/>
    <w:rPr>
      <w:rFonts w:ascii="Courier New" w:eastAsia="Courier New" w:hAnsi="Courier New" w:cs="Courier New"/>
    </w:rPr>
  </w:style>
  <w:style w:type="paragraph" w:styleId="Cabealho">
    <w:name w:val="header"/>
    <w:basedOn w:val="Standard"/>
    <w:pPr>
      <w:suppressLineNumbers/>
      <w:tabs>
        <w:tab w:val="center" w:pos="4251"/>
        <w:tab w:val="right" w:pos="8503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Fontepargpadro">
    <w:name w:val="WW-Fonte parág. padrão"/>
  </w:style>
  <w:style w:type="character" w:customStyle="1" w:styleId="WW-Absatz-Standardschriftart1111111">
    <w:name w:val="WW-Absatz-Standardschriftart1111111"/>
  </w:style>
  <w:style w:type="character" w:customStyle="1" w:styleId="WW-Fontepargpadro1">
    <w:name w:val="WW-Fonte parág. padrão1"/>
  </w:style>
  <w:style w:type="character" w:customStyle="1" w:styleId="WW-Fontepargpadro2">
    <w:name w:val="WW-Fonte parág. padrão2"/>
  </w:style>
  <w:style w:type="character" w:customStyle="1" w:styleId="WW-Fontepargpadro11">
    <w:name w:val="WW-Fonte parág. padrão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Fontepargpadro111">
    <w:name w:val="WW-Fonte parág. padrão111"/>
  </w:style>
  <w:style w:type="character" w:customStyle="1" w:styleId="WW-Fontepargpadro1111">
    <w:name w:val="WW-Fonte parág. padrão1111"/>
  </w:style>
  <w:style w:type="character" w:customStyle="1" w:styleId="WW-Absatz-Standardschriftart12">
    <w:name w:val="WW-Absatz-Standardschriftart1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NumberingSymbols">
    <w:name w:val="Numbering Symbols"/>
  </w:style>
  <w:style w:type="character" w:customStyle="1" w:styleId="postbody1">
    <w:name w:val="postbody1"/>
    <w:basedOn w:val="WW-Fontepargpadro11"/>
    <w:rPr>
      <w:sz w:val="18"/>
      <w:szCs w:val="18"/>
    </w:rPr>
  </w:style>
  <w:style w:type="character" w:customStyle="1" w:styleId="highlightbrs1">
    <w:name w:val="highlightbrs1"/>
    <w:basedOn w:val="Fontepargpadro"/>
    <w:rPr>
      <w:b/>
      <w:bCs/>
      <w:color w:val="FF0000"/>
    </w:rPr>
  </w:style>
  <w:style w:type="character" w:customStyle="1" w:styleId="StrongEmphasis">
    <w:name w:val="Strong Emphasis"/>
    <w:rPr>
      <w:b/>
      <w:bCs/>
    </w:rPr>
  </w:style>
  <w:style w:type="character" w:styleId="nfase">
    <w:name w:val="Emphasis"/>
    <w:rPr>
      <w:i/>
      <w:iCs/>
    </w:rPr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Kathie%2012&#170;%20Vara/antecipa&#231;&#227;o%20de%20tutela%20-%20a&#231;&#227;o%20civil%20p&#250;blica%20-%20plant&#227;o%20forense.odt/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JUDICIÁRIO</vt:lpstr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JUDICIÁRIO</dc:title>
  <dc:creator>Tribunal de Justiça do Estado d</dc:creator>
  <cp:lastModifiedBy>Diário de Goiás</cp:lastModifiedBy>
  <cp:revision>2</cp:revision>
  <cp:lastPrinted>2015-10-29T13:34:00Z</cp:lastPrinted>
  <dcterms:created xsi:type="dcterms:W3CDTF">2015-10-29T19:08:00Z</dcterms:created>
  <dcterms:modified xsi:type="dcterms:W3CDTF">2015-10-29T19:08:00Z</dcterms:modified>
</cp:coreProperties>
</file>